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15" w:rsidRDefault="00730E15" w:rsidP="00A653B8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30E15" w:rsidRDefault="00730E15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730E15" w:rsidRDefault="00730E15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2B7236" w:rsidRDefault="002B7236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30E15" w:rsidRDefault="00730E15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2B723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ст. Ладожская </w:t>
      </w:r>
    </w:p>
    <w:p w:rsidR="00730E15" w:rsidRDefault="00730E15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актовый зал</w:t>
      </w:r>
    </w:p>
    <w:p w:rsidR="002B7236" w:rsidRDefault="00730E15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E61B10">
        <w:rPr>
          <w:rFonts w:ascii="Times New Roman" w:hAnsi="Times New Roman" w:cs="Times New Roman"/>
          <w:sz w:val="32"/>
          <w:szCs w:val="32"/>
        </w:rPr>
        <w:t xml:space="preserve">                              25.08</w:t>
      </w:r>
      <w:r>
        <w:rPr>
          <w:rFonts w:ascii="Times New Roman" w:hAnsi="Times New Roman" w:cs="Times New Roman"/>
          <w:sz w:val="32"/>
          <w:szCs w:val="32"/>
        </w:rPr>
        <w:t xml:space="preserve">.2016 года  </w:t>
      </w:r>
    </w:p>
    <w:p w:rsidR="00730E15" w:rsidRDefault="00730E15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E15" w:rsidRDefault="00730E15" w:rsidP="00730E15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730E15" w:rsidRPr="005C3181" w:rsidRDefault="00730E15" w:rsidP="00730E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 беседы</w:t>
      </w:r>
    </w:p>
    <w:p w:rsidR="00730E15" w:rsidRPr="005C3181" w:rsidRDefault="00730E15" w:rsidP="00730E15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с муниципальными служащими администрации Ладожского сельского поселения Усть-Лабинского района, проведённой в рамках </w:t>
      </w:r>
      <w:r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730E15" w:rsidRDefault="00730E15" w:rsidP="00730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E15" w:rsidRPr="00730E15" w:rsidRDefault="00730E15" w:rsidP="00730E1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30E15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730E15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«круглого стола»</w:t>
      </w:r>
      <w:r w:rsidRPr="00730E15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  </w:t>
      </w:r>
      <w:r w:rsidRPr="00730E15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«Опыт противодействия коррупции</w:t>
      </w:r>
      <w:r w:rsidRPr="00730E15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  </w:t>
      </w:r>
      <w:r w:rsidRPr="00730E1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муниципальном уровне»</w:t>
      </w:r>
    </w:p>
    <w:p w:rsidR="00730E15" w:rsidRDefault="00730E15" w:rsidP="00730E1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B7236" w:rsidRPr="00730E15" w:rsidRDefault="002B7236" w:rsidP="00730E1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30E15" w:rsidRDefault="00730E15" w:rsidP="00730E15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0E15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6"/>
          <w:szCs w:val="36"/>
        </w:rPr>
        <w:t>Рассматриваемые вопросы:</w:t>
      </w:r>
    </w:p>
    <w:p w:rsidR="002B7236" w:rsidRDefault="002B7236" w:rsidP="00730E15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653B8" w:rsidRPr="00730E15" w:rsidRDefault="00A653B8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0E15">
        <w:rPr>
          <w:b/>
          <w:bCs/>
          <w:color w:val="000000"/>
          <w:sz w:val="28"/>
          <w:szCs w:val="28"/>
        </w:rPr>
        <w:t>Уважаемые коллеги!</w:t>
      </w:r>
      <w:r w:rsidRPr="00730E15">
        <w:rPr>
          <w:rStyle w:val="apple-converted-space"/>
          <w:b/>
          <w:bCs/>
          <w:color w:val="000000"/>
          <w:sz w:val="28"/>
          <w:szCs w:val="28"/>
        </w:rPr>
        <w:t> </w:t>
      </w:r>
      <w:r w:rsidR="00730E1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730E15">
        <w:rPr>
          <w:b/>
          <w:bCs/>
          <w:color w:val="000000"/>
          <w:sz w:val="28"/>
          <w:szCs w:val="28"/>
        </w:rPr>
        <w:t>Уважаемые участники заседания!</w:t>
      </w:r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53B8" w:rsidRPr="00730E15">
        <w:rPr>
          <w:color w:val="000000"/>
          <w:sz w:val="28"/>
          <w:szCs w:val="28"/>
        </w:rPr>
        <w:t>Сегодня мы проводим «круглый стол» по теме «Опыт противодействия коррупции на муниципальном уровне».</w:t>
      </w:r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Коррупция, как одно из самых разрушительных явлений для любого государства, стала для России в начале этого тысячелетия основным препятствием для политического, экономического и духовного возрождения, главным тормозом на пути модернизации страны.</w:t>
      </w:r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A653B8" w:rsidRPr="00730E15">
        <w:rPr>
          <w:color w:val="000000"/>
          <w:sz w:val="28"/>
          <w:szCs w:val="28"/>
        </w:rPr>
        <w:t>По индексу коррупции, опубликованном в октябре, Россия заняла 154 место среди 178 стран мира.</w:t>
      </w:r>
      <w:proofErr w:type="gramEnd"/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53B8" w:rsidRPr="00730E15">
        <w:rPr>
          <w:color w:val="000000"/>
          <w:sz w:val="28"/>
          <w:szCs w:val="28"/>
        </w:rPr>
        <w:t>Российские граждане реально ощущают ее проявления при непосредственном взаимодействии с представителями власти на различных уровнях, в том числе и на уровне местного самоуправления.</w:t>
      </w:r>
    </w:p>
    <w:p w:rsidR="002B7236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730E15" w:rsidRPr="002B7236" w:rsidRDefault="00730E15" w:rsidP="002B72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7236">
        <w:rPr>
          <w:rFonts w:ascii="Times New Roman" w:hAnsi="Times New Roman" w:cs="Times New Roman"/>
          <w:sz w:val="28"/>
          <w:szCs w:val="28"/>
        </w:rPr>
        <w:t xml:space="preserve">  </w:t>
      </w:r>
      <w:r w:rsidR="00A653B8" w:rsidRPr="002B7236">
        <w:rPr>
          <w:rFonts w:ascii="Times New Roman" w:hAnsi="Times New Roman" w:cs="Times New Roman"/>
          <w:sz w:val="28"/>
          <w:szCs w:val="28"/>
        </w:rPr>
        <w:t xml:space="preserve">В системной борьбе против этого явления представителям муниципальных органов власти, институтам гражданского общества, правоохранительным </w:t>
      </w:r>
    </w:p>
    <w:p w:rsidR="00A653B8" w:rsidRPr="00730E15" w:rsidRDefault="00A653B8" w:rsidP="002B7236">
      <w:pPr>
        <w:pStyle w:val="a7"/>
        <w:jc w:val="both"/>
      </w:pPr>
      <w:r w:rsidRPr="002B7236">
        <w:rPr>
          <w:rFonts w:ascii="Times New Roman" w:hAnsi="Times New Roman" w:cs="Times New Roman"/>
          <w:sz w:val="28"/>
          <w:szCs w:val="28"/>
        </w:rPr>
        <w:t>органам отводится важная роль. По статистике, россияне наиболее часто сталкиваются с проявлением коррупции и административными барьерами именно в местных органах власти при оказании услуг населению в земельных, строительных, жилищно-коммунальных и других сферах.</w:t>
      </w:r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53B8" w:rsidRPr="00730E15">
        <w:rPr>
          <w:color w:val="000000"/>
          <w:sz w:val="28"/>
          <w:szCs w:val="28"/>
        </w:rPr>
        <w:t>Коллеги! В последние годы в Российской Федерации проводится работа по созданию полноценной законодательной базы для борьбы с коррупцией.</w:t>
      </w:r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653B8" w:rsidRPr="00730E15">
        <w:rPr>
          <w:color w:val="000000"/>
          <w:sz w:val="28"/>
          <w:szCs w:val="28"/>
        </w:rPr>
        <w:t>Правовые и организационные основы для противодействия коррупции были заложены в базовом Федеральном законе от 25 декабря 2008 года «О противодействии коррупции». Этим законом определена государственная политика противодействия коррупции по трем основным направлениям: предупреждению коррупции, борьбы с ней и ликвидации последствий коррупционных правонарушений.</w:t>
      </w:r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53B8" w:rsidRPr="00730E15">
        <w:rPr>
          <w:color w:val="000000"/>
          <w:sz w:val="28"/>
          <w:szCs w:val="28"/>
        </w:rPr>
        <w:t>В этом пакете были приняты также и другие федеральные законы, вносящие изменения в отдельные законодательные акты Российской Федерации.</w:t>
      </w:r>
    </w:p>
    <w:p w:rsidR="00A653B8" w:rsidRPr="00730E15" w:rsidRDefault="00730E15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По настоящее время </w:t>
      </w:r>
      <w:r w:rsidR="00A653B8" w:rsidRPr="00730E15">
        <w:rPr>
          <w:color w:val="000000"/>
          <w:sz w:val="28"/>
          <w:szCs w:val="28"/>
        </w:rPr>
        <w:t xml:space="preserve"> продолжена работа по формированию антикоррупционной базы, приняты законы «Об антикоррупционной экспертизе нормативных правовых актов и проектов нормативных правовых актов», «Об обеспечении доступа к информации о деятельности государственных органов и органов местного самоуправления», Указ Президента Российской Федерации от 13 апреля текущего года «О Национальной стратегии противодействия коррупции и Национальном плане против</w:t>
      </w:r>
      <w:r>
        <w:rPr>
          <w:color w:val="000000"/>
          <w:sz w:val="28"/>
          <w:szCs w:val="28"/>
        </w:rPr>
        <w:t>одействия коррупции на 2017–2018</w:t>
      </w:r>
      <w:r w:rsidR="00A653B8" w:rsidRPr="00730E15">
        <w:rPr>
          <w:color w:val="000000"/>
          <w:sz w:val="28"/>
          <w:szCs w:val="28"/>
        </w:rPr>
        <w:t xml:space="preserve"> годы» и ряд других.</w:t>
      </w:r>
      <w:proofErr w:type="gramEnd"/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Российская Федерация участвует в реализации рекомендаций, подготовленных Группой госуда</w:t>
      </w:r>
      <w:proofErr w:type="gramStart"/>
      <w:r w:rsidR="00A653B8" w:rsidRPr="00730E15">
        <w:rPr>
          <w:color w:val="000000"/>
          <w:sz w:val="28"/>
          <w:szCs w:val="28"/>
        </w:rPr>
        <w:t>рств пр</w:t>
      </w:r>
      <w:proofErr w:type="gramEnd"/>
      <w:r w:rsidR="00A653B8" w:rsidRPr="00730E15">
        <w:rPr>
          <w:color w:val="000000"/>
          <w:sz w:val="28"/>
          <w:szCs w:val="28"/>
        </w:rPr>
        <w:t>отив коррупции (сокращенно – ГРЕКО).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Решены вопросы открытости и доступности к информации о деятельности органов государственной власти, органов местного самоуправления и судов.</w:t>
      </w:r>
    </w:p>
    <w:p w:rsidR="00A653B8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 xml:space="preserve">Усовершенствована система государственной и муниципальной службы и подготовки кадров, </w:t>
      </w:r>
      <w:proofErr w:type="gramStart"/>
      <w:r w:rsidR="00A653B8" w:rsidRPr="00730E15">
        <w:rPr>
          <w:color w:val="000000"/>
          <w:sz w:val="28"/>
          <w:szCs w:val="28"/>
        </w:rPr>
        <w:t>контроля за</w:t>
      </w:r>
      <w:proofErr w:type="gramEnd"/>
      <w:r w:rsidR="00A653B8" w:rsidRPr="00730E15">
        <w:rPr>
          <w:color w:val="000000"/>
          <w:sz w:val="28"/>
          <w:szCs w:val="28"/>
        </w:rPr>
        <w:t xml:space="preserve"> доходами госслужащих, введены требования об информировании соответствующих органов о склонении к взяточничеству.</w:t>
      </w:r>
    </w:p>
    <w:p w:rsidR="002B7236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2B7236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53B8" w:rsidRPr="00730E15">
        <w:rPr>
          <w:color w:val="000000"/>
          <w:sz w:val="28"/>
          <w:szCs w:val="28"/>
        </w:rPr>
        <w:t>Установлен порядок проведения антикоррупционной экспертизы законодательства.</w:t>
      </w:r>
      <w:r>
        <w:rPr>
          <w:color w:val="000000"/>
          <w:sz w:val="28"/>
          <w:szCs w:val="28"/>
        </w:rPr>
        <w:t xml:space="preserve"> </w:t>
      </w:r>
      <w:r w:rsidR="00A653B8" w:rsidRPr="00730E15">
        <w:rPr>
          <w:color w:val="000000"/>
          <w:sz w:val="28"/>
          <w:szCs w:val="28"/>
        </w:rPr>
        <w:t>Заложены основы реформирования политической системы.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Президент РФ </w:t>
      </w:r>
      <w:r w:rsidR="00A653B8" w:rsidRPr="00730E15">
        <w:rPr>
          <w:color w:val="000000"/>
          <w:sz w:val="28"/>
          <w:szCs w:val="28"/>
        </w:rPr>
        <w:t xml:space="preserve"> говорил о принципиальной позиции органов государственной власти в борьбе с коррупцией. В этом прагматичном, по сути, Послании четко говорится о прозрачности отношений чиновника и гражданина, повышении роли муниципальных органов власти. Важными задачами были названы введение уголовного наказания за посредничество во взяточничестве, реформирование системы </w:t>
      </w:r>
      <w:proofErr w:type="spellStart"/>
      <w:r w:rsidR="00A653B8" w:rsidRPr="00730E15">
        <w:rPr>
          <w:color w:val="000000"/>
          <w:sz w:val="28"/>
          <w:szCs w:val="28"/>
        </w:rPr>
        <w:t>госзакупок</w:t>
      </w:r>
      <w:proofErr w:type="spellEnd"/>
      <w:r w:rsidR="00A653B8" w:rsidRPr="00730E15">
        <w:rPr>
          <w:color w:val="000000"/>
          <w:sz w:val="28"/>
          <w:szCs w:val="28"/>
        </w:rPr>
        <w:t>, использование экономических мер воздействия при совершении коррупционных правонарушений, что, по мнению Президента, может быть более продуктивным, чем уголовное наказание.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Таким образом, на федеральном уровне создаются необходимая законодательная база, принимаются организационные меры для противодействия и профилактике проявлений коррупции.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В свою очередь, Совет Федерации уделяет пристальное внимание этому направлению деятельности.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 xml:space="preserve">14 июля этого года в Кремле состоялось заседание Совета </w:t>
      </w:r>
      <w:proofErr w:type="gramStart"/>
      <w:r w:rsidR="00A653B8" w:rsidRPr="00730E15">
        <w:rPr>
          <w:color w:val="000000"/>
          <w:sz w:val="28"/>
          <w:szCs w:val="28"/>
        </w:rPr>
        <w:t>законодателей</w:t>
      </w:r>
      <w:proofErr w:type="gramEnd"/>
      <w:r w:rsidR="00A653B8" w:rsidRPr="00730E15">
        <w:rPr>
          <w:color w:val="000000"/>
          <w:sz w:val="28"/>
          <w:szCs w:val="28"/>
        </w:rPr>
        <w:t xml:space="preserve"> посвященное опыту деятельности субъектов Российской Федерации в области противодействия коррупции. Принятые рекомендации имеются в раздаточных документах.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Совет Федерации внимательно изучает и учитывает опыт противодействия коррупции в органах местного самоуправления.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653B8" w:rsidRPr="00730E15">
        <w:rPr>
          <w:color w:val="000000"/>
          <w:sz w:val="28"/>
          <w:szCs w:val="28"/>
        </w:rPr>
        <w:t>Комитетом Совета Федерации по местному самоуправлению проводился семинар-совещание по реализации Национального плана противодействия коррупции на этом уровне власти.</w:t>
      </w: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Обсуждался опыт исследования, проведенного Московским представительством Американской а</w:t>
      </w:r>
      <w:r>
        <w:rPr>
          <w:color w:val="000000"/>
          <w:sz w:val="28"/>
          <w:szCs w:val="28"/>
        </w:rPr>
        <w:t>ссоциации юристов в течение 2014 - 2015</w:t>
      </w:r>
      <w:r w:rsidR="00A653B8" w:rsidRPr="00730E15">
        <w:rPr>
          <w:color w:val="000000"/>
          <w:sz w:val="28"/>
          <w:szCs w:val="28"/>
        </w:rPr>
        <w:t xml:space="preserve"> годов. Тогда экспертами был проведен глубокий анализ противодействия коррупции на муниципальном уровне на примере 7 регионов России. По результатам исследования сделаны выводы, предложены методики и даны некоторые рекомендации.</w:t>
      </w:r>
    </w:p>
    <w:p w:rsidR="00A653B8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Сегодня мы продолжаем рассматривать тему борьбы с коррупцией на муниципальном уровне.</w:t>
      </w:r>
    </w:p>
    <w:p w:rsidR="002B7236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2B7236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653B8" w:rsidRPr="00730E15" w:rsidRDefault="002B7236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53B8" w:rsidRPr="00730E15">
        <w:rPr>
          <w:color w:val="000000"/>
          <w:sz w:val="28"/>
          <w:szCs w:val="28"/>
        </w:rPr>
        <w:t>Целью нашего «круглого стола» является ознакомление с состоянием дел по противодействию и профилактике коррупции на примере муниципальных образований Псковской области. По результатам сегодняшнего обсуждения нам совместно предстоит выработать решение, на основании которого будет продолжена работа в муниципальной сфере по снижению уровня коррупции на всей территории Российской Федерации.</w:t>
      </w:r>
    </w:p>
    <w:p w:rsidR="00A653B8" w:rsidRPr="00730E15" w:rsidRDefault="00A653B8" w:rsidP="00730E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0E15">
        <w:rPr>
          <w:color w:val="000000"/>
          <w:sz w:val="28"/>
          <w:szCs w:val="28"/>
        </w:rPr>
        <w:t>Благодарю за внимание.</w:t>
      </w:r>
    </w:p>
    <w:p w:rsidR="002B7236" w:rsidRPr="00047477" w:rsidRDefault="002B7236" w:rsidP="002B7236">
      <w:pPr>
        <w:rPr>
          <w:rFonts w:ascii="Times New Roman" w:hAnsi="Times New Roman" w:cs="Times New Roman"/>
          <w:sz w:val="28"/>
          <w:szCs w:val="28"/>
        </w:rPr>
      </w:pPr>
      <w:r w:rsidRPr="00047477">
        <w:rPr>
          <w:rFonts w:ascii="Times New Roman" w:hAnsi="Times New Roman" w:cs="Times New Roman"/>
          <w:sz w:val="28"/>
          <w:szCs w:val="28"/>
        </w:rPr>
        <w:t>На беседе присутствовали  муниципальные служащие администрации Ладожского сельского поселения Усть-Лабинского района (список прилагаю)</w:t>
      </w:r>
    </w:p>
    <w:p w:rsidR="002B7236" w:rsidRPr="00047477" w:rsidRDefault="002B7236" w:rsidP="002B72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236" w:rsidRPr="00047477" w:rsidRDefault="002B7236" w:rsidP="002B72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477">
        <w:rPr>
          <w:rFonts w:ascii="Times New Roman" w:hAnsi="Times New Roman" w:cs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 w:rsidRPr="00047477">
        <w:rPr>
          <w:rFonts w:ascii="Times New Roman" w:hAnsi="Times New Roman" w:cs="Times New Roman"/>
          <w:bCs/>
          <w:sz w:val="28"/>
          <w:szCs w:val="28"/>
        </w:rPr>
        <w:t>Таранова</w:t>
      </w:r>
      <w:proofErr w:type="spellEnd"/>
    </w:p>
    <w:p w:rsidR="002B7236" w:rsidRDefault="002B7236" w:rsidP="002B7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236" w:rsidRDefault="00044EAF" w:rsidP="002B7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2B7236">
        <w:rPr>
          <w:rFonts w:ascii="Times New Roman" w:hAnsi="Times New Roman" w:cs="Times New Roman"/>
          <w:sz w:val="28"/>
          <w:szCs w:val="28"/>
        </w:rPr>
        <w:t xml:space="preserve">.08.2016 года    _____________   А. В. </w:t>
      </w:r>
      <w:proofErr w:type="spellStart"/>
      <w:r w:rsidR="002B7236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730E15" w:rsidRDefault="00730E15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30E15" w:rsidRDefault="00730E15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30E15" w:rsidRDefault="00730E15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Default="002B7236" w:rsidP="00A653B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B7236" w:rsidRPr="00730E15" w:rsidRDefault="002B7236" w:rsidP="002B72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78CF">
        <w:rPr>
          <w:sz w:val="28"/>
          <w:szCs w:val="28"/>
        </w:rPr>
        <w:t>Список муниципальных служащих администрации Ладожского сельского поселения Усть-Лабинского район</w:t>
      </w:r>
      <w:r>
        <w:rPr>
          <w:sz w:val="28"/>
          <w:szCs w:val="28"/>
        </w:rPr>
        <w:t>а, присутствовавших на беседе 25.08</w:t>
      </w:r>
      <w:r w:rsidRPr="00A278CF">
        <w:rPr>
          <w:sz w:val="28"/>
          <w:szCs w:val="28"/>
        </w:rPr>
        <w:t xml:space="preserve">.2016 года проведённой в рамках </w:t>
      </w:r>
      <w:r w:rsidRPr="00A278CF">
        <w:rPr>
          <w:color w:val="333333"/>
          <w:sz w:val="28"/>
          <w:szCs w:val="28"/>
        </w:rPr>
        <w:t xml:space="preserve">Федерального закона от 25.12.2008 </w:t>
      </w:r>
      <w:r>
        <w:rPr>
          <w:color w:val="333333"/>
          <w:sz w:val="28"/>
          <w:szCs w:val="28"/>
        </w:rPr>
        <w:t xml:space="preserve">              </w:t>
      </w:r>
      <w:r w:rsidRPr="00A278CF">
        <w:rPr>
          <w:color w:val="333333"/>
          <w:sz w:val="28"/>
          <w:szCs w:val="28"/>
        </w:rPr>
        <w:t>N 273-ФЗ "О противодействии коррупции"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0E15">
        <w:rPr>
          <w:color w:val="000000"/>
          <w:sz w:val="28"/>
          <w:szCs w:val="28"/>
        </w:rPr>
        <w:t>«круглый стол» по теме «Опыт противодействия коррупции на муниципальном уровне».</w:t>
      </w:r>
    </w:p>
    <w:p w:rsidR="002B7236" w:rsidRDefault="002B7236" w:rsidP="002B7236">
      <w:pPr>
        <w:pStyle w:val="a7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a8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2B7236" w:rsidTr="00D04A49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B7236" w:rsidRDefault="002B7236" w:rsidP="00D0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B7236" w:rsidTr="00D04A49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6" w:rsidTr="00D04A4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36" w:rsidRDefault="002B7236" w:rsidP="00D04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236" w:rsidRDefault="002B7236" w:rsidP="00E61B1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sectPr w:rsidR="002B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B8"/>
    <w:rsid w:val="00044EAF"/>
    <w:rsid w:val="001827E5"/>
    <w:rsid w:val="002B7236"/>
    <w:rsid w:val="005A39A8"/>
    <w:rsid w:val="00730E15"/>
    <w:rsid w:val="00A521E6"/>
    <w:rsid w:val="00A653B8"/>
    <w:rsid w:val="00E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3B8"/>
  </w:style>
  <w:style w:type="character" w:styleId="a4">
    <w:name w:val="Strong"/>
    <w:basedOn w:val="a0"/>
    <w:uiPriority w:val="22"/>
    <w:qFormat/>
    <w:rsid w:val="00A653B8"/>
    <w:rPr>
      <w:b/>
      <w:bCs/>
    </w:rPr>
  </w:style>
  <w:style w:type="character" w:styleId="a5">
    <w:name w:val="Hyperlink"/>
    <w:basedOn w:val="a0"/>
    <w:uiPriority w:val="99"/>
    <w:semiHidden/>
    <w:unhideWhenUsed/>
    <w:rsid w:val="00A653B8"/>
    <w:rPr>
      <w:color w:val="0000FF"/>
      <w:u w:val="single"/>
    </w:rPr>
  </w:style>
  <w:style w:type="character" w:styleId="a6">
    <w:name w:val="Emphasis"/>
    <w:basedOn w:val="a0"/>
    <w:uiPriority w:val="20"/>
    <w:qFormat/>
    <w:rsid w:val="00A653B8"/>
    <w:rPr>
      <w:i/>
      <w:iCs/>
    </w:rPr>
  </w:style>
  <w:style w:type="paragraph" w:styleId="a7">
    <w:name w:val="No Spacing"/>
    <w:uiPriority w:val="1"/>
    <w:qFormat/>
    <w:rsid w:val="00730E15"/>
    <w:pPr>
      <w:spacing w:after="0" w:line="240" w:lineRule="auto"/>
    </w:pPr>
  </w:style>
  <w:style w:type="table" w:styleId="a8">
    <w:name w:val="Table Grid"/>
    <w:basedOn w:val="a1"/>
    <w:uiPriority w:val="59"/>
    <w:rsid w:val="002B72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3B8"/>
  </w:style>
  <w:style w:type="character" w:styleId="a4">
    <w:name w:val="Strong"/>
    <w:basedOn w:val="a0"/>
    <w:uiPriority w:val="22"/>
    <w:qFormat/>
    <w:rsid w:val="00A653B8"/>
    <w:rPr>
      <w:b/>
      <w:bCs/>
    </w:rPr>
  </w:style>
  <w:style w:type="character" w:styleId="a5">
    <w:name w:val="Hyperlink"/>
    <w:basedOn w:val="a0"/>
    <w:uiPriority w:val="99"/>
    <w:semiHidden/>
    <w:unhideWhenUsed/>
    <w:rsid w:val="00A653B8"/>
    <w:rPr>
      <w:color w:val="0000FF"/>
      <w:u w:val="single"/>
    </w:rPr>
  </w:style>
  <w:style w:type="character" w:styleId="a6">
    <w:name w:val="Emphasis"/>
    <w:basedOn w:val="a0"/>
    <w:uiPriority w:val="20"/>
    <w:qFormat/>
    <w:rsid w:val="00A653B8"/>
    <w:rPr>
      <w:i/>
      <w:iCs/>
    </w:rPr>
  </w:style>
  <w:style w:type="paragraph" w:styleId="a7">
    <w:name w:val="No Spacing"/>
    <w:uiPriority w:val="1"/>
    <w:qFormat/>
    <w:rsid w:val="00730E15"/>
    <w:pPr>
      <w:spacing w:after="0" w:line="240" w:lineRule="auto"/>
    </w:pPr>
  </w:style>
  <w:style w:type="table" w:styleId="a8">
    <w:name w:val="Table Grid"/>
    <w:basedOn w:val="a1"/>
    <w:uiPriority w:val="59"/>
    <w:rsid w:val="002B72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2016-09-15T04:58:00Z</cp:lastPrinted>
  <dcterms:created xsi:type="dcterms:W3CDTF">2016-09-13T10:37:00Z</dcterms:created>
  <dcterms:modified xsi:type="dcterms:W3CDTF">2016-09-15T04:58:00Z</dcterms:modified>
</cp:coreProperties>
</file>